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38"/>
          <w:szCs w:val="3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SDM College (Autonomous) Ujire-574240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38"/>
          <w:szCs w:val="3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IQAC meeting Proceedings 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Date</w:t>
      </w:r>
      <w:r>
        <w:rPr>
          <w:rFonts w:ascii="Helvetica Neue" w:hAnsi="Helvetica Neu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07.09.2020</w:t>
      </w:r>
    </w:p>
    <w:p>
      <w:pPr>
        <w:pStyle w:val="Normal.0"/>
        <w:spacing w:line="360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Agenda: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Reading the minutes of the previous meeting &amp; action taken report</w:t>
      </w:r>
    </w:p>
    <w:p>
      <w:pPr>
        <w:pStyle w:val="Normal.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AQARs-2018-19 and 2019-20 Regarding</w:t>
      </w:r>
    </w:p>
    <w:p>
      <w:pPr>
        <w:pStyle w:val="Normal.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Paramarsh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Activities</w:t>
      </w:r>
    </w:p>
    <w:p>
      <w:pPr>
        <w:pStyle w:val="Normal.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Appointment of NAAC Coordinator &amp; reconstitution of IQAC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Quality Initiatives : 1. College Level Initiative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2. Committee / Department Level Initiative</w:t>
      </w:r>
    </w:p>
    <w:p>
      <w:pPr>
        <w:pStyle w:val="Normal.0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Brief Reports by Criteria Chairmen about NAAC Preparation.</w:t>
      </w:r>
    </w:p>
    <w:p>
      <w:pPr>
        <w:pStyle w:val="Normal.0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 Other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meeting was held on 7th September 2020 at 3.00pm in the seminar hall. The deliberations are stated below:</w:t>
      </w: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 present: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Members:</w:t>
      </w:r>
    </w:p>
    <w:tbl>
      <w:tblPr>
        <w:tblW w:w="901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4544"/>
        <w:gridCol w:w="2118"/>
        <w:gridCol w:w="1789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Sl. No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Designation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Signature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B. Yashovarma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Secretary, SDME Society</w:t>
            </w:r>
            <w:r>
              <w:rPr>
                <w:shd w:val="nil" w:color="auto" w:fill="auto"/>
                <w:rtl w:val="0"/>
                <w:lang w:val="en-US"/>
              </w:rPr>
              <w:t>®</w:t>
            </w:r>
            <w:r>
              <w:rPr>
                <w:shd w:val="nil" w:color="auto" w:fill="auto"/>
                <w:rtl w:val="0"/>
                <w:lang w:val="en-US"/>
              </w:rPr>
              <w:t>, Ujire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Advisor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Prof. Satheeschandra S.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Principal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Chairman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Shankaranarayana 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Head, Dept of English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Coordinator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B .P. Sampath Kumar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Registrar(Admin) &amp; Head, Dept. of Kannada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Shanthiprakash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Registrar(Evaluation) &amp; Head, Dept. of Statistics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B. Ganapayya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Dean (PG Studies)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P.N. Udayachandra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Dean(Commerce) &amp; Head, Dept. of Commerce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A. Jayakumar Shetty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Dean(Humanities) &amp; Head, Dept. of Economics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Ajoy Kombrabail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Head, Dept. of Business Management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IV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Shashishekhar N. Kakathkar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Dean(Science) &amp; Head, Dept. of Physics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B. A. Kumara Hegde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Head, Dept. of Botany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Shalip Kumari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Head, Dept. of Political Science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III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Vishwanath P.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Head, Dept. of Chemistry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II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Mrs. K. P. Nanda Kumari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Associate Professor, Dept. of Chemistry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Bhaskar Hegde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Head, Dept. of Journalism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VII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Ganesh Nayak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 xml:space="preserve">Head, Dept. of Mathematics &amp; Co-ordinator, NAAC Criteria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Yuvaraj Poovani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Office Superintendent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Mr. Dhananjaya Rao B. K.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Advocate Belthangady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54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Dr. Joseph N. M.,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Associate Professor, Dept. of Economics, Sacred Heart College, Madanthyar</w:t>
            </w:r>
          </w:p>
        </w:tc>
        <w:tc>
          <w:tcPr>
            <w:tcW w:type="dxa" w:w="211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Member</w:t>
            </w:r>
          </w:p>
        </w:tc>
        <w:tc>
          <w:tcPr>
            <w:tcW w:type="dxa" w:w="17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S/d</w:t>
            </w:r>
          </w:p>
        </w:tc>
      </w:tr>
    </w:tbl>
    <w:p>
      <w:pPr>
        <w:pStyle w:val="Normal.0"/>
        <w:widowControl w:val="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 not present:</w:t>
      </w:r>
    </w:p>
    <w:p>
      <w:pPr>
        <w:pStyle w:val="Normal.0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465546</wp:posOffset>
            </wp:positionH>
            <wp:positionV relativeFrom="line">
              <wp:posOffset>251544</wp:posOffset>
            </wp:positionV>
            <wp:extent cx="5641975" cy="1377950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37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 Satheeshchandra. S, IQAC C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hai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rman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welcomed the members and placed the agenda before the honourable members for deliberations.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Agenda-1 Reading the minutes of the previous meeting &amp; action taken report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Dr. Shankaranarayan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2"/>
          <w:szCs w:val="22"/>
          <w:rtl w:val="0"/>
          <w:lang w:val="en-US"/>
        </w:rPr>
        <w:t xml:space="preserve">IQAC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Coordinator presented the minutes of the meeting held on 10 October 2019 and Action Taken Report.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members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noted the action taken and made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following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suggestions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0"/>
        <w:gridCol w:w="2160"/>
        <w:gridCol w:w="2727"/>
        <w:gridCol w:w="4483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Sl. No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Particulars and serial Number of the resolutions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Observations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center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Suggestions</w:t>
            </w:r>
          </w:p>
        </w:tc>
      </w:tr>
      <w:tr>
        <w:tblPrEx>
          <w:shd w:val="clear" w:color="auto" w:fill="ced7e7"/>
        </w:tblPrEx>
        <w:trPr>
          <w:trHeight w:val="187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NAAC preparation (1)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The august house noted and recorded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>However, as the time available is short the following suggestions are made:</w:t>
            </w:r>
          </w:p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rtl w:val="0"/>
                <w:lang w:val="en-US"/>
              </w:rPr>
              <w:t xml:space="preserve">1.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speed up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 preparation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and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take steps to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enhance the performance of the college. 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Criteria chairmen to plan and execute in a time bound manner</w:t>
            </w:r>
          </w:p>
        </w:tc>
      </w:tr>
      <w:tr>
        <w:tblPrEx>
          <w:shd w:val="clear" w:color="auto" w:fill="ced7e7"/>
        </w:tblPrEx>
        <w:trPr>
          <w:trHeight w:val="163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Open Elective Courses(2)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au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gust house noted and recorded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>Suggested:</w:t>
            </w:r>
          </w:p>
          <w:p>
            <w:pPr>
              <w:pStyle w:val="Normal.0"/>
              <w:tabs>
                <w:tab w:val="left" w:pos="1440"/>
              </w:tabs>
              <w:rPr>
                <w:shd w:val="nil" w:color="auto" w:fill="auto"/>
              </w:rPr>
            </w:pPr>
            <w:r>
              <w:rPr>
                <w:rtl w:val="0"/>
                <w:lang w:val="en-US"/>
              </w:rPr>
              <w:t xml:space="preserve">1.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To offer all of them.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he distribution of teaching hours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should be : out of 24 hours 8hrs are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to be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tutorial hrs and 16hours for project/practicals/self study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Paramarsh workshop(3)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</w:rPr>
              <w:t>The august house noted and recorded as done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Review Mechanism(4)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</w:rPr>
              <w:t xml:space="preserve">The august house noted and recorded as being done regularly 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>However, su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ggested for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thorough review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 record the observations </w:t>
            </w:r>
          </w:p>
        </w:tc>
      </w:tr>
      <w:tr>
        <w:tblPrEx>
          <w:shd w:val="clear" w:color="auto" w:fill="ced7e7"/>
        </w:tblPrEx>
        <w:trPr>
          <w:trHeight w:val="127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Policy Book(5)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ugust house noted and recorded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as done 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Suggested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tabs>
                <w:tab w:val="left" w:pos="1440"/>
              </w:tabs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1. To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review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before finalising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2. To send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to Mr. Dhananjay for his feedback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 To review minutely the sa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fety policy</w:t>
            </w:r>
          </w:p>
        </w:tc>
      </w:tr>
      <w:tr>
        <w:tblPrEx>
          <w:shd w:val="clear" w:color="auto" w:fill="ced7e7"/>
        </w:tblPrEx>
        <w:trPr>
          <w:trHeight w:val="229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Plagiarism check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Suggested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tabs>
                <w:tab w:val="left" w:pos="1440"/>
              </w:tabs>
              <w:rPr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1. To select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few dissertations from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PG Departments and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get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them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checked at the sister institution (MBA Institution at Mysore)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inform Dr. Muruganad to undertake this in the first phase </w:t>
            </w:r>
          </w:p>
        </w:tc>
      </w:tr>
      <w:tr>
        <w:tblPrEx>
          <w:shd w:val="clear" w:color="auto" w:fill="ced7e7"/>
        </w:tblPrEx>
        <w:trPr>
          <w:trHeight w:val="3653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FDPs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: IPR, Mentoring, Blooms</w:t>
            </w:r>
            <w:r>
              <w:rPr>
                <w:rFonts w:ascii="Helvetica Neue" w:hAnsi="Helvetica Neue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Taxonomy, Research Methodology, ICT use, innovative Teaching.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The need for training programmes  for both the teaching as well as non teaching was expressed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Suggested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hold the workshops/Training programmes of longer perio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d.</w:t>
            </w:r>
          </w:p>
          <w:p>
            <w:pPr>
              <w:pStyle w:val="Normal.0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To hold workshop exclusively on mapping of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outcomes with assessment</w:t>
            </w:r>
          </w:p>
          <w:p>
            <w:pPr>
              <w:pStyle w:val="Normal.0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Concerning </w:t>
            </w:r>
            <w:r>
              <w:rPr>
                <w:shd w:val="nil" w:color="auto" w:fill="auto"/>
                <w:rtl w:val="0"/>
                <w:lang w:val="en-US"/>
              </w:rPr>
              <w:t xml:space="preserve">IPR: Mr. Dhananjay Rao suggested to contact Mr </w:t>
            </w:r>
            <w:r>
              <w:rPr>
                <w:shd w:val="nil" w:color="auto" w:fill="auto"/>
                <w:rtl w:val="0"/>
                <w:lang w:val="en-US"/>
              </w:rPr>
              <w:t>Manish Salian</w:t>
            </w:r>
            <w:r>
              <w:rPr>
                <w:shd w:val="nil" w:color="auto" w:fill="auto"/>
                <w:rtl w:val="0"/>
                <w:lang w:val="en-US"/>
              </w:rPr>
              <w:t xml:space="preserve"> , an expert in this regard.</w:t>
            </w:r>
          </w:p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outline w:val="0"/>
                <w:color w:val="00b050"/>
                <w:sz w:val="22"/>
                <w:szCs w:val="22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</w:p>
          <w:p>
            <w:pPr>
              <w:pStyle w:val="Normal.0"/>
              <w:tabs>
                <w:tab w:val="left" w:pos="1440"/>
              </w:tabs>
            </w:pPr>
            <w:r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PBSA to non teaching 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Recorded as a good initiative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Suggested: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To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continue the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appraisa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l system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AAA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Noted as not done due to Pandemic Covid 19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>Suggested: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To hold it in th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 last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week of September /first week of Octobe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r 2020</w:t>
            </w:r>
          </w:p>
        </w:tc>
      </w:tr>
      <w:tr>
        <w:tblPrEx>
          <w:shd w:val="clear" w:color="auto" w:fill="ced7e7"/>
        </w:tblPrEx>
        <w:trPr>
          <w:trHeight w:val="139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Perspective plan and Road map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Recorded as available and used while planning institutional programmes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>Suggested:</w:t>
            </w:r>
          </w:p>
          <w:p>
            <w:pPr>
              <w:pStyle w:val="Normal.0"/>
              <w:tabs>
                <w:tab w:val="left" w:pos="1440"/>
              </w:tabs>
              <w:rPr>
                <w:shd w:val="nil" w:color="auto" w:fill="auto"/>
              </w:rPr>
            </w:pPr>
            <w:r>
              <w:rPr>
                <w:rtl w:val="0"/>
                <w:lang w:val="en-US"/>
              </w:rPr>
              <w:t>1.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list out the tasks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pending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he core committee to discuss and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plan for implementation of the pending tasks</w:t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Alumni Association Registration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Noted the efforts of the college and recorded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Suggested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1. To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speed up the process</w:t>
            </w:r>
          </w:p>
        </w:tc>
      </w:tr>
      <w:tr>
        <w:tblPrEx>
          <w:shd w:val="clear" w:color="auto" w:fill="ced7e7"/>
        </w:tblPrEx>
        <w:trPr>
          <w:trHeight w:val="199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Computer based self generation of question papers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11053b"/>
                <w:sz w:val="22"/>
                <w:szCs w:val="22"/>
                <w:u w:color="00b05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 xml:space="preserve">Noted that </w:t>
            </w:r>
            <w:r>
              <w:rPr>
                <w:rFonts w:ascii="Helvetica Neue" w:hAnsi="Helvetica Neue"/>
                <w:outline w:val="0"/>
                <w:color w:val="11053b"/>
                <w:sz w:val="22"/>
                <w:szCs w:val="22"/>
                <w:u w:color="00b05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Question bank</w:t>
            </w:r>
            <w:r>
              <w:rPr>
                <w:rFonts w:ascii="Helvetica Neue" w:hAnsi="Helvetica Neue"/>
                <w:outline w:val="0"/>
                <w:color w:val="11053b"/>
                <w:sz w:val="22"/>
                <w:szCs w:val="22"/>
                <w:u w:color="00b05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s</w:t>
            </w:r>
            <w:r>
              <w:rPr>
                <w:rFonts w:ascii="Helvetica Neue" w:hAnsi="Helvetica Neue"/>
                <w:outline w:val="0"/>
                <w:color w:val="11053b"/>
                <w:sz w:val="22"/>
                <w:szCs w:val="22"/>
                <w:u w:color="00b05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 xml:space="preserve"> of most of the </w:t>
            </w:r>
            <w:r>
              <w:rPr>
                <w:rFonts w:ascii="Helvetica Neue" w:hAnsi="Helvetica Neue"/>
                <w:outline w:val="0"/>
                <w:color w:val="11053b"/>
                <w:sz w:val="22"/>
                <w:szCs w:val="22"/>
                <w:u w:color="00b05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subjects have</w:t>
            </w:r>
            <w:r>
              <w:rPr>
                <w:rFonts w:ascii="Helvetica Neue" w:hAnsi="Helvetica Neue"/>
                <w:outline w:val="0"/>
                <w:color w:val="11053b"/>
                <w:sz w:val="22"/>
                <w:szCs w:val="22"/>
                <w:u w:color="00b05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 xml:space="preserve"> been uploaded.Remaining in progress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>Suggested: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>1. The Departments to prepare the question banks for the remaining subjects soon and upload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tl w:val="0"/>
                <w:lang w:val="en-US"/>
              </w:rPr>
              <w:t xml:space="preserve">2.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he Exam section to 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conduct the next exam by using computer generated question papers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Mangalore University Research Centre Regarding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</w:rPr>
              <w:t>Noted and recorded the developments</w:t>
            </w:r>
          </w:p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outline w:val="0"/>
                <w:color w:val="2e063d"/>
                <w:sz w:val="22"/>
                <w:szCs w:val="22"/>
                <w:u w:color="ff0000"/>
                <w14:textFill>
                  <w14:solidFill>
                    <w14:srgbClr w14:val="2E063D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e063d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2E063D"/>
                  </w14:solidFill>
                </w14:textFill>
              </w:rPr>
              <w:t>Suggested:</w:t>
            </w:r>
          </w:p>
          <w:p>
            <w:pPr>
              <w:pStyle w:val="Normal.0"/>
              <w:tabs>
                <w:tab w:val="left" w:pos="1440"/>
              </w:tabs>
            </w:pPr>
            <w:r>
              <w:rPr>
                <w:rFonts w:ascii="Helvetica Neue" w:hAnsi="Helvetica Neue"/>
                <w:outline w:val="0"/>
                <w:color w:val="2e063d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2E063D"/>
                  </w14:solidFill>
                </w14:textFill>
              </w:rPr>
              <w:t xml:space="preserve">1. </w:t>
            </w:r>
            <w:r>
              <w:rPr>
                <w:rFonts w:ascii="Helvetica Neue" w:hAnsi="Helvetica Neue"/>
                <w:outline w:val="0"/>
                <w:color w:val="2e063d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2E063D"/>
                  </w14:solidFill>
                </w14:textFill>
              </w:rPr>
              <w:t>To undertake the follow up</w:t>
            </w:r>
            <w:r>
              <w:rPr>
                <w:rFonts w:ascii="Helvetica Neue" w:hAnsi="Helvetica Neue"/>
                <w:outline w:val="0"/>
                <w:color w:val="2e063d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2E063D"/>
                  </w14:solidFill>
                </w14:textFill>
              </w:rPr>
              <w:t xml:space="preserve"> for recognition to Guides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72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16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  <w:tab w:val="left" w:pos="2880"/>
              </w:tabs>
              <w:jc w:val="left"/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Mechanism to assess the learning outcomes</w:t>
            </w:r>
          </w:p>
        </w:tc>
        <w:tc>
          <w:tcPr>
            <w:tcW w:type="dxa" w:w="272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8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40"/>
              </w:tabs>
              <w:rPr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</w:t>
            </w:r>
            <w:r>
              <w:rPr>
                <w:rFonts w:ascii="Helvetica Neue" w:hAnsi="Helvetica Neue"/>
                <w:sz w:val="22"/>
                <w:szCs w:val="22"/>
                <w:rtl w:val="0"/>
                <w:lang w:val="en-US"/>
              </w:rPr>
              <w:t xml:space="preserve">intimate </w:t>
            </w:r>
            <w:r>
              <w:rPr>
                <w:rFonts w:ascii="Helvetica Neue" w:hAnsi="Helvetica Neue"/>
                <w:sz w:val="22"/>
                <w:szCs w:val="22"/>
                <w:u w:color="ff0000"/>
                <w:rtl w:val="0"/>
                <w:lang w:val="en-US"/>
              </w:rPr>
              <w:t>Dr. Ganraj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 Dr Muruganada</w:t>
            </w:r>
          </w:p>
          <w:p>
            <w:pPr>
              <w:pStyle w:val="Normal.0"/>
              <w:tabs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as a trial for two departmen</w:t>
            </w:r>
            <w:r>
              <w:rPr>
                <w:rFonts w:ascii="Helvetica Neue" w:hAnsi="Helvetica Neue"/>
                <w:sz w:val="22"/>
                <w:szCs w:val="22"/>
                <w:shd w:val="nil" w:color="auto" w:fill="auto"/>
                <w:rtl w:val="0"/>
                <w:lang w:val="en-US"/>
              </w:rPr>
              <w:t>t</w:t>
            </w:r>
          </w:p>
        </w:tc>
      </w:tr>
    </w:tbl>
    <w:p>
      <w:pPr>
        <w:pStyle w:val="Normal.0"/>
        <w:widowControl w:val="0"/>
        <w:ind w:left="108" w:hanging="108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Resolved to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approve the minutes and ATR with all recommendations </w:t>
      </w:r>
    </w:p>
    <w:p>
      <w:pPr>
        <w:pStyle w:val="Normal.0"/>
        <w:spacing w:line="360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agenda was approved</w:t>
      </w:r>
    </w:p>
    <w:p>
      <w:pPr>
        <w:pStyle w:val="Normal.0"/>
        <w:spacing w:line="360" w:lineRule="auto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Agenda-2</w:t>
      </w: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AQARs-2018-19 and 2019-20 Regarding</w:t>
      </w:r>
    </w:p>
    <w:p>
      <w:pPr>
        <w:pStyle w:val="Normal.0"/>
        <w:spacing w:line="360" w:lineRule="auto"/>
        <w:jc w:val="both"/>
      </w:pPr>
      <w:r>
        <w:rPr>
          <w:sz w:val="22"/>
          <w:szCs w:val="22"/>
          <w:rtl w:val="0"/>
          <w:lang w:val="en-US"/>
        </w:rPr>
        <w:t>Dr. Shankaranarayan</w:t>
      </w:r>
      <w:r>
        <w:rPr>
          <w:sz w:val="22"/>
          <w:szCs w:val="22"/>
          <w:rtl w:val="0"/>
          <w:lang w:val="en-US"/>
        </w:rPr>
        <w:t>a</w:t>
      </w:r>
      <w:r>
        <w:rPr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  <w:u w:color="00b050"/>
          <w:rtl w:val="0"/>
          <w:lang w:val="en-US"/>
        </w:rPr>
        <w:t xml:space="preserve">K </w:t>
      </w:r>
      <w:r>
        <w:rPr>
          <w:sz w:val="22"/>
          <w:szCs w:val="22"/>
          <w:rtl w:val="0"/>
          <w:lang w:val="en-US"/>
        </w:rPr>
        <w:t xml:space="preserve">Coordinator </w:t>
      </w:r>
      <w:r>
        <w:rPr>
          <w:sz w:val="22"/>
          <w:szCs w:val="22"/>
          <w:rtl w:val="0"/>
          <w:lang w:val="en-US"/>
        </w:rPr>
        <w:t>presented the</w:t>
      </w:r>
      <w:r>
        <w:rPr>
          <w:sz w:val="22"/>
          <w:szCs w:val="22"/>
          <w:rtl w:val="0"/>
          <w:lang w:val="en-US"/>
        </w:rPr>
        <w:t xml:space="preserve"> report regarding the AQAR</w:t>
      </w:r>
      <w:r>
        <w:rPr>
          <w:sz w:val="22"/>
          <w:szCs w:val="22"/>
          <w:rtl w:val="0"/>
          <w:lang w:val="en-US"/>
        </w:rPr>
        <w:t xml:space="preserve"> submission.</w:t>
      </w:r>
    </w:p>
    <w:p>
      <w:pPr>
        <w:pStyle w:val="Normal.0"/>
        <w:spacing w:line="360" w:lineRule="auto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>Dr B Yashovarma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suggested the IQAC  to write to the NAAC regarding the </w:t>
      </w:r>
      <w:r>
        <w:rPr>
          <w:sz w:val="22"/>
          <w:szCs w:val="22"/>
          <w:u w:color="ff0000"/>
          <w:rtl w:val="0"/>
          <w:lang w:val="en-US"/>
        </w:rPr>
        <w:t xml:space="preserve">delay of submission of AQAR 2019-20 </w:t>
      </w:r>
      <w:r>
        <w:rPr>
          <w:sz w:val="22"/>
          <w:szCs w:val="22"/>
          <w:u w:color="ff0000"/>
          <w:rtl w:val="0"/>
          <w:lang w:val="en-US"/>
        </w:rPr>
        <w:t>on account</w:t>
      </w:r>
      <w:r>
        <w:rPr>
          <w:sz w:val="22"/>
          <w:szCs w:val="22"/>
          <w:rtl w:val="0"/>
          <w:lang w:val="en-US"/>
        </w:rPr>
        <w:t xml:space="preserve"> of the </w:t>
      </w:r>
      <w:r>
        <w:rPr>
          <w:sz w:val="22"/>
          <w:szCs w:val="22"/>
          <w:rtl w:val="0"/>
          <w:lang w:val="en-US"/>
        </w:rPr>
        <w:t xml:space="preserve">late </w:t>
      </w:r>
      <w:r>
        <w:rPr>
          <w:sz w:val="22"/>
          <w:szCs w:val="22"/>
          <w:rtl w:val="0"/>
          <w:lang w:val="en-US"/>
        </w:rPr>
        <w:t>semester end exam (</w:t>
      </w:r>
      <w:r>
        <w:rPr>
          <w:sz w:val="22"/>
          <w:szCs w:val="22"/>
          <w:rtl w:val="0"/>
          <w:lang w:val="en-US"/>
        </w:rPr>
        <w:t>Due</w:t>
      </w:r>
      <w:r>
        <w:rPr>
          <w:sz w:val="22"/>
          <w:szCs w:val="22"/>
          <w:rtl w:val="0"/>
          <w:lang w:val="en-US"/>
        </w:rPr>
        <w:t xml:space="preserve"> to Pandemic Covid 19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Resolved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approv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 the recommendation 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Agenda-3</w:t>
      </w:r>
    </w:p>
    <w:p>
      <w:pPr>
        <w:pStyle w:val="Normal.0"/>
        <w:spacing w:line="360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Paramarsh Activities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Prof. SN Kakathkar, NIRF Coordinator presented the brief report of the programmes conducted under Paramarsh Scheme.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Recorded the appreciation for the conduct of Paramarsh activities.</w:t>
      </w:r>
    </w:p>
    <w:p>
      <w:pPr>
        <w:pStyle w:val="Normal.0"/>
        <w:spacing w:line="360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Resolved to approve the report.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 -4</w:t>
      </w:r>
    </w:p>
    <w:p>
      <w:pPr>
        <w:pStyle w:val="Normal.0"/>
        <w:spacing w:after="20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Approval for Appointment of NAAC Coordinator &amp; reconstitution of IQAC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members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recommended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that the appointment of the coordinator for NAAC and reconstitution can be decided by the core committee. The principal is authorised to undertake this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members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approved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the recommendation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0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Agenda-5</w:t>
      </w:r>
    </w:p>
    <w:p>
      <w:pPr>
        <w:pStyle w:val="Normal.0"/>
        <w:spacing w:after="20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Quality Initiatives : 1. College Level Initiative</w:t>
      </w: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2. Committee / Department Level Initiative</w:t>
      </w:r>
    </w:p>
    <w:p>
      <w:pPr>
        <w:pStyle w:val="Normal.0"/>
        <w:spacing w:after="20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principal read out the list of initiatives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 for the year 2020-20 ( both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Dept/committee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level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college level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20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list is as follows: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1.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Finalising the draft of POs,  PSOs, C</w:t>
      </w:r>
      <w:r>
        <w:rPr>
          <w:outline w:val="0"/>
          <w:color w:val="ff0000"/>
          <w:sz w:val="22"/>
          <w:szCs w:val="2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s. B. Enhancing the number of elective courses, C. Integrating Internships, Value additions, field visits and projects in to curriculum 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Criteria-2</w:t>
      </w: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Increasing the use of ICT in TLE, (Online programmes).  B. Developing a comprehensive support system for slow learners and advanced learners, C. Developing a system to assess the graduate outcomes. E. Adopting more ICT enabled assessment system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3</w:t>
      </w: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Enhancing extension programmes, B. Conducting workshops on research methodology, IPA, Skill Development programmes  C. Enhancing publications, Collaborations, and strengthening the research, D. Student staff exchange programmes, OJT, projects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4</w:t>
      </w: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Enhancing e resources, B. Enhancing library use, C. Enhancing the number of video lectures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5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Enhancing training programmes, B. Involving alumni in career mentoring, alumni teaching,  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6</w:t>
      </w:r>
    </w:p>
    <w:p>
      <w:pPr>
        <w:pStyle w:val="Normal.0"/>
        <w:numPr>
          <w:ilvl w:val="0"/>
          <w:numId w:val="18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Enhancing FD activities, B. </w:t>
      </w:r>
      <w:r>
        <w:rPr>
          <w:outline w:val="0"/>
          <w:color w:val="11053b"/>
          <w:sz w:val="22"/>
          <w:szCs w:val="22"/>
          <w:u w:color="ff0000"/>
          <w:rtl w:val="0"/>
          <w:lang w:val="en-US"/>
          <w14:textFill>
            <w14:solidFill>
              <w14:srgbClr w14:val="11053B"/>
            </w14:solidFill>
          </w14:textFill>
        </w:rPr>
        <w:t xml:space="preserve">Motivation </w:t>
      </w:r>
      <w:r>
        <w:rPr>
          <w:outline w:val="0"/>
          <w:color w:val="11053b"/>
          <w:sz w:val="22"/>
          <w:szCs w:val="22"/>
          <w:u w:color="ff0000"/>
          <w:rtl w:val="0"/>
          <w:lang w:val="en-US"/>
          <w14:textFill>
            <w14:solidFill>
              <w14:srgbClr w14:val="11053B"/>
            </w14:solidFill>
          </w14:textFill>
        </w:rPr>
        <w:t xml:space="preserve">to </w:t>
      </w:r>
      <w:r>
        <w:rPr>
          <w:outline w:val="0"/>
          <w:color w:val="11053b"/>
          <w:sz w:val="22"/>
          <w:szCs w:val="22"/>
          <w:u w:color="ff0000"/>
          <w:rtl w:val="0"/>
          <w:lang w:val="en-US"/>
          <w14:textFill>
            <w14:solidFill>
              <w14:srgbClr w14:val="11053B"/>
            </w14:solidFill>
          </w14:textFill>
        </w:rPr>
        <w:t>staff to participate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seminars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/workshops and other academic meets,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Conducting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Audits, D. Strengthening Documentation- EERPMS, E. Enhancing the public service for generation of funds.  </w:t>
      </w:r>
    </w:p>
    <w:p>
      <w:pPr>
        <w:pStyle w:val="Normal.0"/>
        <w:jc w:val="both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7</w:t>
      </w:r>
    </w:p>
    <w:p>
      <w:pPr>
        <w:pStyle w:val="Normal.0"/>
        <w:numPr>
          <w:ilvl w:val="0"/>
          <w:numId w:val="20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More number of social oriented programmes- environment conservation, water conservation, greenery protection  B. Conducting programmes </w:t>
      </w:r>
      <w:r>
        <w:rPr>
          <w:sz w:val="22"/>
          <w:szCs w:val="22"/>
          <w:rtl w:val="0"/>
          <w:lang w:val="en-US"/>
        </w:rPr>
        <w:t>on gender equity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, human values, rights and duties, C. Audits- green campus, carbon neutral audit, energy audit, environment audits, D. Enhancing programmes for social harmony </w:t>
      </w:r>
    </w:p>
    <w:p>
      <w:pPr>
        <w:pStyle w:val="Normal.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General</w:t>
      </w:r>
    </w:p>
    <w:p>
      <w:pPr>
        <w:pStyle w:val="Normal.0"/>
        <w:numPr>
          <w:ilvl w:val="0"/>
          <w:numId w:val="2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Finalising the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Policy Book, B. Best Practices Book,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Handbook of institutional initiatives,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Increasing the number of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Webinars, Staff development programmes (teaching as well as non teaching programmes), Enhancing Online mode of teaching.</w:t>
      </w:r>
    </w:p>
    <w:p>
      <w:pPr>
        <w:pStyle w:val="Normal.0"/>
        <w:spacing w:line="360" w:lineRule="auto"/>
        <w:rPr>
          <w:outline w:val="0"/>
          <w:color w:val="202528"/>
          <w:sz w:val="22"/>
          <w:szCs w:val="22"/>
          <w:u w:color="202528"/>
          <w:shd w:val="clear" w:color="auto" w:fill="e3f2e6"/>
          <w14:textFill>
            <w14:solidFill>
              <w14:srgbClr w14:val="202528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schedule is given below: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1.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1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"/>
        <w:gridCol w:w="2810"/>
        <w:gridCol w:w="1943"/>
        <w:gridCol w:w="1943"/>
        <w:gridCol w:w="1943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Review and Updating PO, PSO, CO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Curriculum objectives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Deans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September 2020</w:t>
            </w:r>
          </w:p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Integration of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Internships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in curriculum 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Hands on training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HoDs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Soon after semester end exam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Value added courses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give additional inputs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HoDs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each every semester</w:t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Field visits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Experiential Learning 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 in the Dept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Two days visit: one day each in each semester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Student projects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Self learning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Faculty in the department 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10 projects minimum</w:t>
            </w:r>
          </w:p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Feedback: collection, analysis and Action Taken Report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Curriculum development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 in the dept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2020 October end</w:t>
            </w:r>
          </w:p>
        </w:tc>
      </w:tr>
      <w:tr>
        <w:tblPrEx>
          <w:shd w:val="clear" w:color="auto" w:fill="ced7e7"/>
        </w:tblPrEx>
        <w:trPr>
          <w:trHeight w:val="744" w:hRule="atLeast"/>
        </w:trPr>
        <w:tc>
          <w:tcPr>
            <w:tcW w:type="dxa" w:w="37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81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Elective courses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Providing more scope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Dept/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Reg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istrar</w:t>
            </w:r>
          </w:p>
        </w:tc>
        <w:tc>
          <w:tcPr>
            <w:tcW w:type="dxa" w:w="194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3/4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optional courses in each semester</w:t>
            </w:r>
          </w:p>
        </w:tc>
      </w:tr>
    </w:tbl>
    <w:p>
      <w:pPr>
        <w:pStyle w:val="Normal.0"/>
        <w:widowControl w:val="0"/>
        <w:ind w:left="324" w:hanging="324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Criteria-2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2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"/>
        <w:gridCol w:w="3082"/>
        <w:gridCol w:w="2056"/>
        <w:gridCol w:w="2055"/>
        <w:gridCol w:w="2056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37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308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20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784" w:hRule="atLeast"/>
        </w:trPr>
        <w:tc>
          <w:tcPr>
            <w:tcW w:type="dxa" w:w="37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08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Adopting more student centric methods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Adopting new pedagogy </w:t>
            </w:r>
          </w:p>
        </w:tc>
        <w:tc>
          <w:tcPr>
            <w:tcW w:type="dxa" w:w="20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HoDs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To list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out and submit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before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October end 2020</w:t>
            </w:r>
          </w:p>
        </w:tc>
      </w:tr>
      <w:tr>
        <w:tblPrEx>
          <w:shd w:val="clear" w:color="auto" w:fill="ced7e7"/>
        </w:tblPrEx>
        <w:trPr>
          <w:trHeight w:val="1234" w:hRule="atLeast"/>
        </w:trPr>
        <w:tc>
          <w:tcPr>
            <w:tcW w:type="dxa" w:w="37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08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Assessment of learning levels and support to slow and advanced learners diagnostic survey and remedial drill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Support to slow learners, advanced learners</w:t>
            </w:r>
          </w:p>
        </w:tc>
        <w:tc>
          <w:tcPr>
            <w:tcW w:type="dxa" w:w="20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 Faculty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undertake soon after the first test and report before the end of the semester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7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08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Academic Calendar- lesson plan and diary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Planning and execution</w:t>
            </w:r>
          </w:p>
        </w:tc>
        <w:tc>
          <w:tcPr>
            <w:tcW w:type="dxa" w:w="20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Planning committee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Day wise plan in the diary/ weekly review by HoD/ monthly review by Deans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37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08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Assessment of prog/ course outcomes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Evaluating the attainment of programme outcomes</w:t>
            </w:r>
          </w:p>
        </w:tc>
        <w:tc>
          <w:tcPr>
            <w:tcW w:type="dxa" w:w="20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Dr. Ganaraj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and Dr. Muruganad</w:t>
            </w:r>
            <w:r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Plan and submit before the end of September 2020</w:t>
            </w:r>
          </w:p>
        </w:tc>
      </w:tr>
      <w:tr>
        <w:tblPrEx>
          <w:shd w:val="clear" w:color="auto" w:fill="ced7e7"/>
        </w:tblPrEx>
        <w:trPr>
          <w:trHeight w:val="1234" w:hRule="atLeast"/>
        </w:trPr>
        <w:tc>
          <w:tcPr>
            <w:tcW w:type="dxa" w:w="378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08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Exam reforms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Online BOE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DigiLocker</w:t>
            </w:r>
          </w:p>
          <w:p>
            <w:pPr>
              <w:pStyle w:val="Normal.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question paper 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softcopy</w:t>
            </w:r>
          </w:p>
        </w:tc>
        <w:tc>
          <w:tcPr>
            <w:tcW w:type="dxa" w:w="20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Registrar</w:t>
            </w:r>
          </w:p>
        </w:tc>
        <w:tc>
          <w:tcPr>
            <w:tcW w:type="dxa" w:w="20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2020-21 </w:t>
            </w:r>
          </w:p>
        </w:tc>
      </w:tr>
    </w:tbl>
    <w:p>
      <w:pPr>
        <w:pStyle w:val="Normal.0"/>
        <w:widowControl w:val="0"/>
        <w:ind w:left="324" w:hanging="324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3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5"/>
        <w:gridCol w:w="2841"/>
        <w:gridCol w:w="1864"/>
        <w:gridCol w:w="1864"/>
        <w:gridCol w:w="1866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108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Extension programmes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Awareness/ orientation to the public on social issues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 in the dept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Department to conduct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each in each semester</w:t>
            </w:r>
          </w:p>
        </w:tc>
      </w:tr>
      <w:tr>
        <w:tblPrEx>
          <w:shd w:val="clear" w:color="auto" w:fill="ced7e7"/>
        </w:tblPrEx>
        <w:trPr>
          <w:trHeight w:val="147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Organising workshops/seminars on research methodology, intellectual property rights, skill development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educate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about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the research methodology, intellectual property rights, skill development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Research committee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Two in the academic year</w:t>
            </w:r>
          </w:p>
        </w:tc>
      </w:tr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Research: PhD, publications, guideship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Developing research culture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 or 2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compulsory publications in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 year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Use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of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plagiarism software for checking the originality of the papers: researchers, students, faculty.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Research ethics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Mandatory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16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Incubation and Entrepreneurial Centre</w:t>
            </w:r>
            <w:r>
              <w:rPr>
                <w:rFonts w:ascii="Helvetica Neue" w:cs="Helvetica Neue" w:hAnsi="Helvetica Neue" w:eastAsia="Helvetica Neue"/>
                <w:outline w:val="0"/>
                <w:color w:val="11053b"/>
                <w:sz w:val="20"/>
                <w:szCs w:val="20"/>
                <w:u w:color="ff0000"/>
                <w14:textFill>
                  <w14:solidFill>
                    <w14:srgbClr w14:val="11053B"/>
                  </w14:solidFill>
                </w14:textFill>
              </w:rPr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To provide guidance and motivations to students of the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institution and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neighbouring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institutions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for projects and self employment 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Dr. Rakesh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September 2020</w:t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3"/>
              </w:numPr>
              <w:spacing w:line="360" w:lineRule="auto"/>
              <w:jc w:val="both"/>
              <w:rPr>
                <w:rFonts w:ascii="Helvetica" w:hAnsi="Helvetica"/>
                <w:outline w:val="0"/>
                <w:color w:val="11053b"/>
                <w:sz w:val="20"/>
                <w:szCs w:val="20"/>
                <w:u w:color="ff0000"/>
                <w:lang w:val="en-US"/>
                <w14:textFill>
                  <w14:solidFill>
                    <w14:srgbClr w14:val="11053B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Research centre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motivate and guide the researchers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Research committee 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September 2020</w:t>
            </w:r>
          </w:p>
        </w:tc>
      </w:tr>
      <w:tr>
        <w:tblPrEx>
          <w:shd w:val="clear" w:color="auto" w:fill="ced7e7"/>
        </w:tblPrEx>
        <w:trPr>
          <w:trHeight w:val="146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Collection of every detail with regard to publication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s 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including UGC recognised or not, the copy of the paper published to the Data centre/EERPMS  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Details are required for NAAC.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aculty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30th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September 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Collaborative programmes: research, faculty exchange, student exchange, internship, OJT, Project work.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Maximising the use of the available resources.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One each from the department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per year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58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841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MoUs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Collaborating for better understanding and access</w:t>
            </w:r>
          </w:p>
        </w:tc>
        <w:tc>
          <w:tcPr>
            <w:tcW w:type="dxa" w:w="1864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</w:t>
            </w:r>
          </w:p>
        </w:tc>
        <w:tc>
          <w:tcPr>
            <w:tcW w:type="dxa" w:w="186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Minimum one from each department </w:t>
            </w:r>
          </w:p>
        </w:tc>
      </w:tr>
    </w:tbl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4</w:t>
      </w:r>
    </w:p>
    <w:tbl>
      <w:tblPr>
        <w:tblW w:w="908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9"/>
        <w:gridCol w:w="3516"/>
        <w:gridCol w:w="1656"/>
        <w:gridCol w:w="1655"/>
        <w:gridCol w:w="1656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59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3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16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59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Use of library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Enhancing the use of library</w:t>
            </w:r>
          </w:p>
        </w:tc>
        <w:tc>
          <w:tcPr>
            <w:tcW w:type="dxa" w:w="16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As per the guidelines by the authority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59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Suggesting the subject specific journals/ e books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Enhancing the library use</w:t>
            </w:r>
          </w:p>
        </w:tc>
        <w:tc>
          <w:tcPr>
            <w:tcW w:type="dxa" w:w="16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15th of September </w:t>
            </w:r>
          </w:p>
        </w:tc>
      </w:tr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59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Enhancing the use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 xml:space="preserve"> of recording facility for e lec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tures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Developing more resources</w:t>
            </w:r>
          </w:p>
        </w:tc>
        <w:tc>
          <w:tcPr>
            <w:tcW w:type="dxa" w:w="16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video per topic (minimum)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59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Enhancing the facilities: library resources, ICT facilities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Infrastructure enhancement </w:t>
            </w:r>
          </w:p>
        </w:tc>
        <w:tc>
          <w:tcPr>
            <w:tcW w:type="dxa" w:w="165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165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2020-21</w:t>
            </w:r>
          </w:p>
        </w:tc>
      </w:tr>
    </w:tbl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5</w:t>
      </w:r>
    </w:p>
    <w:tbl>
      <w:tblPr>
        <w:tblW w:w="92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7"/>
        <w:gridCol w:w="1560"/>
        <w:gridCol w:w="2332"/>
        <w:gridCol w:w="2332"/>
        <w:gridCol w:w="2332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 No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313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Training programmes: soft skill/ personality development/ communication skills/life skills/career opportunities/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capacity building/competitive exams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Additional inputs to make students are more employable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Dept/Career guidance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each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Conducting cultural and other competitions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Enhancing opportunities for developing the competitive spirit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Committees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/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Annual competitions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University/state/national level competitions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Alumni involvements- more interactions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</w:rPr>
              <w:t>Maximising the use Human Resources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Depts/committee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8 interactions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in a semest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outline w:val="0"/>
                <w:color w:val="11053b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Strengthening</w:t>
            </w:r>
            <w:r>
              <w:rPr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placement/vertical growth to higher stud</w:t>
            </w:r>
            <w:r>
              <w:rPr>
                <w:shd w:val="nil" w:color="auto" w:fill="auto"/>
                <w:rtl w:val="0"/>
                <w:lang w:val="en-US"/>
              </w:rPr>
              <w:t>ies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Training for higher employability skills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placement cell/depts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Increasing the number of skill enhancement programmes</w:t>
            </w:r>
          </w:p>
        </w:tc>
      </w:tr>
    </w:tbl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6</w:t>
      </w:r>
    </w:p>
    <w:tbl>
      <w:tblPr>
        <w:tblW w:w="92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7"/>
        <w:gridCol w:w="1560"/>
        <w:gridCol w:w="2332"/>
        <w:gridCol w:w="2332"/>
        <w:gridCol w:w="2332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99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Professional development, administrative programmes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Enhancing the effectiveness in the profession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FDP Committee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training programmes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to non teaching</w:t>
            </w:r>
          </w:p>
        </w:tc>
      </w:tr>
      <w:tr>
        <w:tblPrEx>
          <w:shd w:val="clear" w:color="auto" w:fill="ced7e7"/>
        </w:tblPrEx>
        <w:trPr>
          <w:trHeight w:val="123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Participation in academic seminars/ orientation programmes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Updating the knowledge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Faculty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 least 5 per year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AAA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Audit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IQAC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per year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Exploring more fields in EERPMS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User friendly fields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Core committee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September 2020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70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Strengthening Data centre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 store the data at a centre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Core committee to advice and give directions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2020-21</w:t>
            </w:r>
          </w:p>
        </w:tc>
      </w:tr>
    </w:tbl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Criteria 7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17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7"/>
        <w:gridCol w:w="1560"/>
        <w:gridCol w:w="2332"/>
        <w:gridCol w:w="2332"/>
        <w:gridCol w:w="2332"/>
      </w:tblGrid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61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964" w:hRule="atLeast"/>
        </w:trPr>
        <w:tc>
          <w:tcPr>
            <w:tcW w:type="dxa" w:w="61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Gender equity programmes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Awareness creation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Women Development cel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l/ internal Complaint Cell/ Grievance Redressal Cell</w:t>
            </w:r>
            <w:r>
              <w:rPr>
                <w:rFonts w:ascii="Helvetica Neue" w:hAnsi="Helvetica Neu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per semester</w:t>
            </w:r>
          </w:p>
        </w:tc>
      </w:tr>
      <w:tr>
        <w:tblPrEx>
          <w:shd w:val="clear" w:color="auto" w:fill="ced7e7"/>
        </w:tblPrEx>
        <w:trPr>
          <w:trHeight w:val="2404" w:hRule="atLeast"/>
        </w:trPr>
        <w:tc>
          <w:tcPr>
            <w:tcW w:type="dxa" w:w="61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Conducting sensitisation programmes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u w:color="ff000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 xml:space="preserve"> on 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constitutional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obligations, values, rights, duties, responsibilities of citizens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Awareness creation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NSS/NCC/pol. Science dept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Women Development cel</w:t>
            </w:r>
            <w:r>
              <w:rPr>
                <w:rFonts w:ascii="Helvetica Neue" w:hAnsi="Helvetica Neue"/>
                <w:outline w:val="0"/>
                <w:color w:val="11053b"/>
                <w:sz w:val="20"/>
                <w:szCs w:val="20"/>
                <w:rtl w:val="0"/>
                <w:lang w:val="en-US"/>
                <w14:textFill>
                  <w14:solidFill>
                    <w14:srgbClr w14:val="11053B"/>
                  </w14:solidFill>
                </w14:textFill>
              </w:rPr>
              <w:t>l/ internal Complaint Cell/ Grievance Redressal Cell</w:t>
            </w: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One each on each topic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61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Commemoration of days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events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festivals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To develop so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cial harmony and healthy practices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Hostels/Student Welfare committee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Throughout the year</w:t>
            </w:r>
          </w:p>
        </w:tc>
      </w:tr>
      <w:tr>
        <w:tblPrEx>
          <w:shd w:val="clear" w:color="auto" w:fill="ced7e7"/>
        </w:tblPrEx>
        <w:trPr>
          <w:trHeight w:val="1714" w:hRule="atLeast"/>
        </w:trPr>
        <w:tc>
          <w:tcPr>
            <w:tcW w:type="dxa" w:w="61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6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Audits- green campus, carbon neutral audit, energy audit, environment audit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assess and plan For better environment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Social responsibility committee </w:t>
            </w:r>
          </w:p>
        </w:tc>
        <w:tc>
          <w:tcPr>
            <w:tcW w:type="dxa" w:w="233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September and October 2020</w:t>
            </w:r>
          </w:p>
        </w:tc>
      </w:tr>
    </w:tbl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General</w:t>
      </w: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68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"/>
        <w:gridCol w:w="2516"/>
        <w:gridCol w:w="2196"/>
        <w:gridCol w:w="1737"/>
        <w:gridCol w:w="1737"/>
      </w:tblGrid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0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2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Initiatives </w:t>
            </w:r>
          </w:p>
        </w:tc>
        <w:tc>
          <w:tcPr>
            <w:tcW w:type="dxa" w:w="219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Purpose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Faculty in charge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Target date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50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Policy book</w:t>
            </w:r>
          </w:p>
        </w:tc>
        <w:tc>
          <w:tcPr>
            <w:tcW w:type="dxa" w:w="219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To have written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institutional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guidelines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Deans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September 2020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50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Best Practice Handbook</w:t>
            </w:r>
          </w:p>
        </w:tc>
        <w:tc>
          <w:tcPr>
            <w:tcW w:type="dxa" w:w="219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have a document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Deans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September 2020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50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PBSA: to non teaching staff</w:t>
            </w:r>
          </w:p>
        </w:tc>
        <w:tc>
          <w:tcPr>
            <w:tcW w:type="dxa" w:w="219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To include all staff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Audit committee 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September 20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50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Webinars</w:t>
            </w:r>
          </w:p>
        </w:tc>
        <w:tc>
          <w:tcPr>
            <w:tcW w:type="dxa" w:w="219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National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College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 Neue" w:cs="Helvetica Neue" w:hAnsi="Helvetica Neue" w:eastAsia="Helvetica Neue"/>
                <w:sz w:val="20"/>
                <w:szCs w:val="20"/>
                <w:shd w:val="nil" w:color="auto" w:fill="auto"/>
              </w:rPr>
            </w:pPr>
            <w:r>
              <w:rPr>
                <w:rFonts w:ascii="Helvetica Neue" w:hAnsi="Helvetica Neue"/>
                <w:sz w:val="20"/>
                <w:szCs w:val="20"/>
                <w:rtl w:val="0"/>
                <w:lang w:val="en-US"/>
              </w:rPr>
              <w:t xml:space="preserve">2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per semester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can be increased</w:t>
            </w:r>
          </w:p>
        </w:tc>
      </w:tr>
      <w:tr>
        <w:tblPrEx>
          <w:shd w:val="clear" w:color="auto" w:fill="ced7e7"/>
        </w:tblPrEx>
        <w:trPr>
          <w:trHeight w:val="514" w:hRule="atLeast"/>
        </w:trPr>
        <w:tc>
          <w:tcPr>
            <w:tcW w:type="dxa" w:w="500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51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Enhancing Online mode of teaching</w:t>
            </w:r>
          </w:p>
        </w:tc>
        <w:tc>
          <w:tcPr>
            <w:tcW w:type="dxa" w:w="219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Alternative mode during Covid19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College/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Dept</w:t>
            </w:r>
          </w:p>
        </w:tc>
        <w:tc>
          <w:tcPr>
            <w:tcW w:type="dxa" w:w="1736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Modalities to be worked out</w:t>
            </w:r>
          </w:p>
        </w:tc>
      </w:tr>
    </w:tbl>
    <w:p>
      <w:pPr>
        <w:pStyle w:val="Normal.0"/>
        <w:widowControl w:val="0"/>
        <w:ind w:left="324" w:hanging="324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216" w:hanging="216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84"/>
        </w:tabs>
        <w:spacing w:before="137" w:line="242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2020-21  IQAC Plan</w:t>
      </w:r>
    </w:p>
    <w:p>
      <w:pPr>
        <w:pStyle w:val="Normal.0"/>
        <w:widowControl w:val="0"/>
        <w:spacing w:before="5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341" w:type="dxa"/>
        <w:jc w:val="left"/>
        <w:tblInd w:w="3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5040"/>
        <w:gridCol w:w="2933"/>
      </w:tblGrid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Sl. No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tl w:val="0"/>
                <w:lang w:val="en-US"/>
              </w:rPr>
              <w:t xml:space="preserve">Quality Initiatives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Target</w:t>
            </w:r>
          </w:p>
        </w:tc>
      </w:tr>
      <w:tr>
        <w:tblPrEx>
          <w:shd w:val="clear" w:color="auto" w:fill="ced7e7"/>
        </w:tblPrEx>
        <w:trPr>
          <w:trHeight w:val="2099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>Enhancing Online Mode of Teaching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More than 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30%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>Integrating online courses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Elective courses and value added courses</w:t>
            </w:r>
          </w:p>
        </w:tc>
      </w:tr>
      <w:tr>
        <w:tblPrEx>
          <w:shd w:val="clear" w:color="auto" w:fill="ced7e7"/>
        </w:tblPrEx>
        <w:trPr>
          <w:trHeight w:val="16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 xml:space="preserve">To continue the Mentorship Initiative (Paramarsh) of the NAAC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Supporting all the </w:t>
            </w:r>
            <w:r>
              <w:rPr>
                <w:shd w:val="nil" w:color="auto" w:fill="auto"/>
                <w:rtl w:val="0"/>
                <w:lang w:val="en-US"/>
              </w:rPr>
              <w:t xml:space="preserve">eight mentee </w:t>
            </w:r>
            <w:r>
              <w:rPr>
                <w:shd w:val="nil" w:color="auto" w:fill="auto"/>
                <w:rtl w:val="0"/>
                <w:lang w:val="en-US"/>
              </w:rPr>
              <w:t xml:space="preserve"> institutions</w:t>
            </w:r>
            <w:r>
              <w:rPr>
                <w:shd w:val="nil" w:color="auto" w:fill="auto"/>
                <w:rtl w:val="0"/>
                <w:lang w:val="en-US"/>
              </w:rPr>
              <w:t xml:space="preserve"> to go </w:t>
            </w:r>
            <w:r>
              <w:rPr>
                <w:shd w:val="nil" w:color="auto" w:fill="auto"/>
                <w:rtl w:val="0"/>
                <w:lang w:val="en-US"/>
              </w:rPr>
              <w:t xml:space="preserve"> for </w:t>
            </w:r>
            <w:r>
              <w:rPr>
                <w:shd w:val="nil" w:color="auto" w:fill="auto"/>
                <w:rtl w:val="0"/>
                <w:lang w:val="en-US"/>
              </w:rPr>
              <w:t xml:space="preserve">NAAC </w:t>
            </w:r>
            <w:r>
              <w:rPr>
                <w:shd w:val="nil" w:color="auto" w:fill="auto"/>
                <w:rtl w:val="0"/>
                <w:lang w:val="en-US"/>
              </w:rPr>
              <w:t xml:space="preserve">accreditation 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>To Establish Research Labs/Centres affiliated to Mangalore University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 xml:space="preserve">To set up </w:t>
            </w:r>
            <w:r>
              <w:rPr>
                <w:shd w:val="nil" w:color="auto" w:fill="auto"/>
                <w:rtl w:val="0"/>
                <w:lang w:val="en-US"/>
              </w:rPr>
              <w:t>separate ce</w:t>
            </w:r>
            <w:r>
              <w:rPr>
                <w:shd w:val="nil" w:color="auto" w:fill="auto"/>
                <w:rtl w:val="0"/>
                <w:lang w:val="en-US"/>
              </w:rPr>
              <w:t>ntre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 xml:space="preserve">To undertake </w:t>
            </w:r>
            <w:r>
              <w:rPr>
                <w:rtl w:val="0"/>
                <w:lang w:val="en-US"/>
              </w:rPr>
              <w:t xml:space="preserve">funded </w:t>
            </w:r>
            <w:r>
              <w:rPr>
                <w:rtl w:val="0"/>
                <w:lang w:val="en-US"/>
              </w:rPr>
              <w:t xml:space="preserve">research Projects from govt and non </w:t>
            </w:r>
            <w:r>
              <w:rPr>
                <w:rtl w:val="0"/>
                <w:lang w:val="en-US"/>
              </w:rPr>
              <w:t>government</w:t>
            </w:r>
            <w:r>
              <w:rPr>
                <w:rtl w:val="0"/>
                <w:lang w:val="en-US"/>
              </w:rPr>
              <w:t xml:space="preserve"> organisations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10 projects</w:t>
            </w:r>
            <w:r>
              <w:rPr>
                <w:shd w:val="nil" w:color="auto" w:fill="auto"/>
                <w:rtl w:val="0"/>
                <w:lang w:val="en-US"/>
              </w:rPr>
              <w:t xml:space="preserve"> during 2020-21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>To Conduct Faculty Development Programmes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4 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>To strengthen the Wall of Good will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 give more publicity and enhance its use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>To construct Car Parking at pg centre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To Construct a New Block for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Commerce Department Long term plan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The roof and the ceilings were replaced. The whole building was whitewashed 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tl w:val="0"/>
                <w:lang w:val="en-US"/>
              </w:rPr>
              <w:t xml:space="preserve">To conduct National seminars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05 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To c</w:t>
            </w:r>
            <w:r>
              <w:rPr>
                <w:u w:color="ff0000"/>
                <w:rtl w:val="0"/>
                <w:lang w:val="en-US"/>
              </w:rPr>
              <w:t xml:space="preserve">onduct school/village adoption 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02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To </w:t>
            </w:r>
            <w:r>
              <w:rPr>
                <w:u w:color="ff0000"/>
                <w:rtl w:val="0"/>
                <w:lang w:val="en-US"/>
              </w:rPr>
              <w:t xml:space="preserve">organize guest lectures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To enhance the number of W</w:t>
            </w:r>
            <w:r>
              <w:rPr>
                <w:u w:color="ff0000"/>
                <w:rtl w:val="0"/>
                <w:lang w:val="en-US"/>
              </w:rPr>
              <w:t xml:space="preserve">all magazine issues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Digital -100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T</w:t>
            </w:r>
            <w:r>
              <w:rPr>
                <w:u w:color="ff0000"/>
                <w:rtl w:val="0"/>
                <w:lang w:val="en-US"/>
              </w:rPr>
              <w:t xml:space="preserve">o conduct research methodology workshop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To conduct IQAC</w:t>
            </w:r>
            <w:r>
              <w:rPr>
                <w:u w:color="ff0000"/>
                <w:rtl w:val="0"/>
                <w:lang w:val="en-US"/>
              </w:rPr>
              <w:t xml:space="preserve"> Workshop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To </w:t>
            </w:r>
            <w:r>
              <w:rPr>
                <w:u w:color="ff0000"/>
                <w:rtl w:val="0"/>
                <w:lang w:val="en-US"/>
              </w:rPr>
              <w:t xml:space="preserve"> conduct civic sense campaigns 30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To conduct field  </w:t>
            </w:r>
            <w:r>
              <w:rPr>
                <w:u w:color="ff0000"/>
                <w:rtl w:val="0"/>
                <w:lang w:val="en-US"/>
              </w:rPr>
              <w:t xml:space="preserve">visits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7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To increase a</w:t>
            </w:r>
            <w:r>
              <w:rPr>
                <w:u w:color="ff0000"/>
                <w:rtl w:val="0"/>
                <w:lang w:val="en-US"/>
              </w:rPr>
              <w:t xml:space="preserve">lumni interactions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To </w:t>
            </w:r>
            <w:r>
              <w:rPr>
                <w:u w:color="ff0000"/>
                <w:rtl w:val="0"/>
                <w:lang w:val="en-US"/>
              </w:rPr>
              <w:t xml:space="preserve">conduct Grama Swaraj Programmes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Self help group visits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To conduct legal awareness programmes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Environment protection campaigns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C</w:t>
            </w:r>
            <w:r>
              <w:rPr>
                <w:u w:color="ff0000"/>
                <w:rtl w:val="0"/>
                <w:lang w:val="en-US"/>
              </w:rPr>
              <w:t xml:space="preserve">omputer aided content Creation </w:t>
            </w:r>
            <w:r>
              <w:rPr>
                <w:u w:color="ff0000"/>
                <w:rtl w:val="0"/>
                <w:lang w:val="en-US"/>
              </w:rPr>
              <w:t>–</w:t>
            </w:r>
            <w:r>
              <w:rPr>
                <w:u w:color="ff0000"/>
                <w:rtl w:val="0"/>
                <w:lang w:val="en-US"/>
              </w:rPr>
              <w:t xml:space="preserve">PPT,                   e Lectures, Videos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cs="Arial Unicode MS" w:hAnsi="Times New Roman" w:eastAsia="Arial Unicode MS"/>
              </w:rPr>
              <w:t>250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D</w:t>
            </w:r>
            <w:r>
              <w:rPr>
                <w:u w:color="ff0000"/>
                <w:rtl w:val="0"/>
                <w:lang w:val="en-US"/>
              </w:rPr>
              <w:t xml:space="preserve">ocumentary creation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Faculty exchange programmes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5 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I</w:t>
            </w:r>
            <w:r>
              <w:rPr>
                <w:u w:color="ff0000"/>
                <w:rtl w:val="0"/>
                <w:lang w:val="en-US"/>
              </w:rPr>
              <w:t xml:space="preserve">nternships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HRD Training Programmes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E</w:t>
            </w:r>
            <w:r>
              <w:rPr>
                <w:u w:color="ff0000"/>
                <w:rtl w:val="0"/>
                <w:lang w:val="en-US"/>
              </w:rPr>
              <w:t xml:space="preserve">xtension Programmes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25 </w:t>
            </w:r>
          </w:p>
        </w:tc>
      </w:tr>
      <w:tr>
        <w:tblPrEx>
          <w:shd w:val="clear" w:color="auto" w:fill="ced7e7"/>
        </w:tblPrEx>
        <w:trPr>
          <w:trHeight w:val="796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Reconstitution of the committees both functional and statutory committees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Review</w:t>
            </w:r>
          </w:p>
        </w:tc>
      </w:tr>
      <w:tr>
        <w:tblPrEx>
          <w:shd w:val="clear" w:color="auto" w:fill="ced7e7"/>
        </w:tblPrEx>
        <w:trPr>
          <w:trHeight w:val="1689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rFonts w:ascii="Calibri" w:cs="Calibri" w:hAnsi="Calibri" w:eastAsia="Calibri"/>
                <w:u w:color="ff0000"/>
              </w:rPr>
            </w:pPr>
            <w:r>
              <w:rPr>
                <w:rFonts w:ascii="Calibri" w:hAnsi="Calibri"/>
                <w:u w:color="ff0000"/>
                <w:rtl w:val="0"/>
                <w:lang w:val="en-US"/>
              </w:rPr>
              <w:t xml:space="preserve">Jnana </w:t>
            </w:r>
            <w:r>
              <w:rPr>
                <w:rFonts w:ascii="Times New Roman" w:hAnsi="Times New Roman"/>
                <w:u w:color="ff0000"/>
                <w:rtl w:val="0"/>
                <w:lang w:val="en-US"/>
              </w:rPr>
              <w:t>Mantapa, Knowledge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u w:color="ff0000"/>
                <w:rtl w:val="0"/>
              </w:rPr>
            </w:pPr>
            <w:r>
              <w:rPr>
                <w:rFonts w:ascii="Times New Roman" w:hAnsi="Times New Roman"/>
                <w:u w:color="ff0000"/>
                <w:rtl w:val="0"/>
                <w:lang w:val="en-US"/>
              </w:rPr>
              <w:t>Sharing: In house Faculty Knowledge Sharing programme once in Fifteen days, 14th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u w:color="ff0000"/>
                <w:rtl w:val="0"/>
                <w:lang w:val="en-US"/>
              </w:rPr>
              <w:t>and 28th of every month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Documentation of Institutional Policies 2ND Phase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Strengthening Data Centre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Curricular Revision: To include Skill Component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PG Section</w:t>
            </w:r>
          </w:p>
        </w:tc>
      </w:tr>
      <w:tr>
        <w:tblPrEx>
          <w:shd w:val="clear" w:color="auto" w:fill="ced7e7"/>
        </w:tblPrEx>
        <w:trPr>
          <w:trHeight w:val="16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rFonts w:ascii="Calibri" w:cs="Calibri" w:hAnsi="Calibri" w:eastAsia="Calibri"/>
                <w:u w:color="ff0000"/>
              </w:rPr>
            </w:pPr>
            <w:r>
              <w:rPr>
                <w:rFonts w:ascii="Times New Roman" w:hAnsi="Times New Roman"/>
                <w:u w:color="ff0000"/>
                <w:rtl w:val="0"/>
                <w:lang w:val="en-US"/>
              </w:rPr>
              <w:t>Academic and Administrative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u w:color="ff0000"/>
                <w:rtl w:val="0"/>
              </w:rPr>
            </w:pPr>
            <w:r>
              <w:rPr>
                <w:u w:color="ff0000"/>
                <w:rtl w:val="0"/>
                <w:lang w:val="en-US"/>
              </w:rPr>
              <w:t xml:space="preserve">Audit (AAA) 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u w:color="ff0000"/>
                <w:rtl w:val="0"/>
                <w:lang w:val="en-US"/>
              </w:rPr>
              <w:t>PBSA, Weekly Campus audit, students Appraisal, IEAS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tl w:val="0"/>
              </w:rPr>
              <w:t>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All other assessments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Upgradation of Documentation System In line with NAAC /IQAR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Stream lining the process</w:t>
            </w:r>
          </w:p>
        </w:tc>
      </w:tr>
      <w:tr>
        <w:tblPrEx>
          <w:shd w:val="clear" w:color="auto" w:fill="ced7e7"/>
        </w:tblPrEx>
        <w:trPr>
          <w:trHeight w:val="921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Bringing out a Booklet of the responsibilities of the employees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A booklet of the responsibilities was brought out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>Faculty Capacity Building Training Progammes 2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Content Creation for Wikipedia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50 </w:t>
            </w:r>
          </w:p>
        </w:tc>
      </w:tr>
      <w:tr>
        <w:tblPrEx>
          <w:shd w:val="clear" w:color="auto" w:fill="ced7e7"/>
        </w:tblPrEx>
        <w:trPr>
          <w:trHeight w:val="16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rFonts w:ascii="Calibri" w:cs="Calibri" w:hAnsi="Calibri" w:eastAsia="Calibri"/>
                <w:u w:color="ff0000"/>
              </w:rPr>
            </w:pPr>
            <w:r>
              <w:rPr>
                <w:rFonts w:ascii="Times New Roman" w:hAnsi="Times New Roman"/>
                <w:u w:color="ff0000"/>
                <w:rtl w:val="0"/>
                <w:lang w:val="en-US"/>
              </w:rPr>
              <w:t xml:space="preserve"> Swacch Bharth programmes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u w:color="ff0000"/>
                <w:rtl w:val="0"/>
              </w:rPr>
            </w:pPr>
            <w:r>
              <w:rPr>
                <w:rFonts w:ascii="Times New Roman" w:hAnsi="Times New Roman"/>
                <w:u w:color="ff0000"/>
                <w:rtl w:val="0"/>
                <w:lang w:val="en-US"/>
              </w:rPr>
              <w:t>: to organize on a wider scale through NSS/NCC/RR and all Departments and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u w:color="ff0000"/>
                <w:rtl w:val="0"/>
                <w:lang w:val="en-US"/>
              </w:rPr>
              <w:t>Committees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5 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Share Lecture Series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20 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rFonts w:ascii="Calibri" w:cs="Calibri" w:hAnsi="Calibri" w:eastAsia="Calibri"/>
                <w:u w:color="ff0000"/>
              </w:rPr>
            </w:pPr>
            <w:r>
              <w:rPr>
                <w:rFonts w:ascii="Times New Roman" w:hAnsi="Times New Roman"/>
                <w:u w:color="ff0000"/>
                <w:rtl w:val="0"/>
                <w:lang w:val="en-US"/>
              </w:rPr>
              <w:t>Project Guidance to High School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u w:color="ff0000"/>
                <w:rtl w:val="0"/>
                <w:lang w:val="en-US"/>
              </w:rPr>
              <w:t xml:space="preserve">students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u w:color="ff0000"/>
                <w:rtl w:val="0"/>
                <w:lang w:val="en-US"/>
              </w:rPr>
              <w:t xml:space="preserve">Conference on NAAC new Guidelines 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1 </w:t>
            </w:r>
          </w:p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rFonts w:ascii="Calibri" w:cs="Calibri" w:hAnsi="Calibri" w:eastAsia="Calibri"/>
                <w:u w:color="ff0000"/>
              </w:rPr>
            </w:pPr>
            <w:r>
              <w:rPr>
                <w:rFonts w:ascii="Times New Roman" w:hAnsi="Times New Roman"/>
                <w:u w:color="ff0000"/>
                <w:rtl w:val="0"/>
                <w:lang w:val="en-US"/>
              </w:rPr>
              <w:t>To organize Inter/Intra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u w:color="ff0000"/>
                <w:rtl w:val="0"/>
                <w:lang w:val="en-US"/>
              </w:rPr>
              <w:t>collegiate Festival</w:t>
            </w:r>
          </w:p>
        </w:tc>
        <w:tc>
          <w:tcPr>
            <w:tcW w:type="dxa" w:w="29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Jenkar</w:t>
            </w:r>
          </w:p>
        </w:tc>
      </w:tr>
    </w:tbl>
    <w:p>
      <w:pPr>
        <w:pStyle w:val="Normal.0"/>
        <w:widowControl w:val="0"/>
        <w:spacing w:before="5"/>
        <w:ind w:left="278" w:hanging="278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5"/>
        <w:ind w:left="170" w:hanging="17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before="5"/>
        <w:ind w:left="440" w:hanging="4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Suggestions: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Mr. Danajaya Rao suggested: 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</w:t>
      </w:r>
      <w:r>
        <w:rPr>
          <w:outline w:val="0"/>
          <w:color w:val="11053b"/>
          <w:sz w:val="22"/>
          <w:szCs w:val="22"/>
          <w:u w:color="ff0000"/>
          <w:rtl w:val="0"/>
          <w:lang w:val="en-US"/>
          <w14:textFill>
            <w14:solidFill>
              <w14:srgbClr w14:val="11053B"/>
            </w14:solidFill>
          </w14:textFill>
        </w:rPr>
        <w:t xml:space="preserve">have more collaborations for research through Alumnin   </w:t>
      </w:r>
      <w:r>
        <w:rPr>
          <w:outline w:val="0"/>
          <w:color w:val="11053b"/>
          <w:sz w:val="22"/>
          <w:szCs w:val="22"/>
          <w:u w:color="00b050"/>
          <w:rtl w:val="0"/>
          <w:lang w:val="en-US"/>
          <w14:textFill>
            <w14:solidFill>
              <w14:srgbClr w14:val="11053B"/>
            </w14:solidFill>
          </w14:textFill>
        </w:rPr>
        <w:t xml:space="preserve">To </w:t>
      </w:r>
      <w:r>
        <w:rPr>
          <w:outline w:val="0"/>
          <w:color w:val="11053b"/>
          <w:sz w:val="22"/>
          <w:szCs w:val="22"/>
          <w:u w:color="00b050"/>
          <w:rtl w:val="0"/>
          <w:lang w:val="en-US"/>
          <w14:textFill>
            <w14:solidFill>
              <w14:srgbClr w14:val="11053B"/>
            </w14:solidFill>
          </w14:textFill>
        </w:rPr>
        <w:t xml:space="preserve">Enhance </w:t>
      </w:r>
      <w:r>
        <w:rPr>
          <w:outline w:val="0"/>
          <w:color w:val="11053b"/>
          <w:sz w:val="22"/>
          <w:szCs w:val="22"/>
          <w:u w:color="00b050"/>
          <w:rtl w:val="0"/>
          <w:lang w:val="en-US"/>
          <w14:textFill>
            <w14:solidFill>
              <w14:srgbClr w14:val="11053B"/>
            </w14:solidFill>
          </w14:textFill>
        </w:rPr>
        <w:t xml:space="preserve"> alumni collaboration </w:t>
      </w:r>
      <w:r>
        <w:rPr>
          <w:outline w:val="0"/>
          <w:color w:val="11053b"/>
          <w:sz w:val="22"/>
          <w:szCs w:val="22"/>
          <w:u w:color="00b050"/>
          <w:rtl w:val="0"/>
          <w:lang w:val="en-US"/>
          <w14:textFill>
            <w14:solidFill>
              <w14:srgbClr w14:val="11053B"/>
            </w14:solidFill>
          </w14:textFill>
        </w:rPr>
        <w:t xml:space="preserve">for </w:t>
      </w:r>
      <w:r>
        <w:rPr>
          <w:outline w:val="0"/>
          <w:color w:val="11053b"/>
          <w:sz w:val="22"/>
          <w:szCs w:val="22"/>
          <w:u w:color="00b050"/>
          <w:rtl w:val="0"/>
          <w:lang w:val="en-US"/>
          <w14:textFill>
            <w14:solidFill>
              <w14:srgbClr w14:val="11053B"/>
            </w14:solidFill>
          </w14:textFill>
        </w:rPr>
        <w:t xml:space="preserve"> research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hold Campus Recruitment, a mega event through the alumni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strengthen research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associate with organisations like Rotary club for socially beneficial programmes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work in a team. Through the IQAC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initiatives to be undertaken for the development of the college</w:t>
      </w: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collaborate with foreign universities for academic research activities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Decided to plan and implement the above suggestions. The concerned committees- Research Committee, social responsibility committee, alumni committee to undertake these tasks.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august house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approved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plans of the college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Agenda- 6</w:t>
      </w: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Reports by Criteria Chairmen about NAAC Preparation.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criteria chairpersons ( Mr. Ganesh Nayak, Criteria-1; Dr. Vishwanath P, criteria-2;  Dr. Shalip Kumary Criteria-3; prof. Ajoy Kombrabail, Criteria-4; Dr. Kumar Hegde, Criteria-5; </w:t>
      </w:r>
      <w:r>
        <w:rPr>
          <w:outline w:val="0"/>
          <w:color w:val="11053b"/>
          <w:sz w:val="22"/>
          <w:szCs w:val="22"/>
          <w:u w:color="ff0000"/>
          <w:rtl w:val="0"/>
          <w:lang w:val="en-US"/>
          <w14:textFill>
            <w14:solidFill>
              <w14:srgbClr w14:val="11053B"/>
            </w14:solidFill>
          </w14:textFill>
        </w:rPr>
        <w:t>Prof. Nanda Kumar</w:t>
      </w:r>
      <w:r>
        <w:rPr>
          <w:outline w:val="0"/>
          <w:color w:val="11053b"/>
          <w:sz w:val="22"/>
          <w:szCs w:val="22"/>
          <w:u w:color="ff0000"/>
          <w:rtl w:val="0"/>
          <w:lang w:val="en-US"/>
          <w14:textFill>
            <w14:solidFill>
              <w14:srgbClr w14:val="11053B"/>
            </w14:solidFill>
          </w14:textFill>
        </w:rPr>
        <w:t xml:space="preserve">i- </w:t>
      </w:r>
      <w:r>
        <w:rPr>
          <w:outline w:val="0"/>
          <w:color w:val="11053b"/>
          <w:sz w:val="22"/>
          <w:szCs w:val="22"/>
          <w:rtl w:val="0"/>
          <w:lang w:val="en-US"/>
          <w14:textFill>
            <w14:solidFill>
              <w14:srgbClr w14:val="11053B"/>
            </w14:solidFill>
          </w14:textFill>
        </w:rPr>
        <w:t>Criteria-6; Dr. Bhaskar Hegde, Criteria-7) presented reports on the pre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paration made for NAAC under each criteria.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 B Yashovarma suggested to undertake all the care and precaution while preparing the institutional Self Study Report. The college needs to be elevated to a higher level  NAAC grade from the last grade of 3.61. Suggested all criteria chairpersons to thoroughly plan and meticulously implement for the quality enhancement of the institution.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Decided that the faculty shall have plans with clearly defined targets and reach the targets.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august house approved the reports and recommendations </w:t>
      </w: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 -7</w:t>
      </w:r>
    </w:p>
    <w:p>
      <w:pPr>
        <w:pStyle w:val="Normal.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 other</w:t>
      </w:r>
    </w:p>
    <w:p>
      <w:pPr>
        <w:pStyle w:val="Normal.0"/>
        <w:numPr>
          <w:ilvl w:val="0"/>
          <w:numId w:val="2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Recorded the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Suggestions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made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elevate the institution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international level</w:t>
      </w:r>
    </w:p>
    <w:p>
      <w:pPr>
        <w:pStyle w:val="Normal.0"/>
        <w:numPr>
          <w:ilvl w:val="0"/>
          <w:numId w:val="2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Selected SRP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uploaded the college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website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meeting was adjourned at 5.45pm with the vote of thanks by the IQAC Coordinator.</w:t>
      </w:r>
    </w:p>
    <w:p>
      <w:pPr>
        <w:pStyle w:val="Normal.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 Shankaranarayan k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Coordinator 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IQAC </w:t>
      </w:r>
    </w:p>
    <w:p>
      <w:pPr>
        <w:pStyle w:val="Normal.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.................</w:t>
      </w:r>
    </w:p>
    <w:p>
      <w:pPr>
        <w:pStyle w:val="Normal.0"/>
        <w:jc w:val="center"/>
      </w:pPr>
      <w:r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6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680"/>
        <w:tab w:val="right" w:pos="9000"/>
      </w:tabs>
      <w:jc w:val="center"/>
    </w:pP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outline w:val="0"/>
        <w:color w:val="000000"/>
        <w:sz w:val="10"/>
        <w:szCs w:val="10"/>
        <w:u w:color="000000"/>
        <w:rtl w:val="0"/>
        <w:lang w:val="en-US"/>
        <w14:textFill>
          <w14:solidFill>
            <w14:srgbClr w14:val="000000"/>
          </w14:solidFill>
        </w14:textFill>
      </w:rPr>
      <w:t>Ch: blank 183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8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4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4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ed Style 3"/>
  </w:abstractNum>
  <w:abstractNum w:abstractNumId="6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ed Style 4"/>
  </w:abstractNum>
  <w:abstractNum w:abstractNumId="8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ed Style 5"/>
  </w:abstractNum>
  <w:abstractNum w:abstractNumId="10">
    <w:multiLevelType w:val="hybridMultilevel"/>
    <w:styleLink w:val="Imported Style 5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Imported Style 6"/>
  </w:abstractNum>
  <w:abstractNum w:abstractNumId="12">
    <w:multiLevelType w:val="hybridMultilevel"/>
    <w:styleLink w:val="Imported Style 6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Imported Style 7"/>
  </w:abstractNum>
  <w:abstractNum w:abstractNumId="14">
    <w:multiLevelType w:val="hybridMultilevel"/>
    <w:styleLink w:val="Imported Style 7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Imported Style 8"/>
  </w:abstractNum>
  <w:abstractNum w:abstractNumId="16">
    <w:multiLevelType w:val="hybridMultilevel"/>
    <w:styleLink w:val="Imported Style 8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Imported Style 9"/>
  </w:abstractNum>
  <w:abstractNum w:abstractNumId="18">
    <w:multiLevelType w:val="hybridMultilevel"/>
    <w:styleLink w:val="Imported Style 9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Imported Style 10"/>
  </w:abstractNum>
  <w:abstractNum w:abstractNumId="20">
    <w:multiLevelType w:val="hybridMultilevel"/>
    <w:styleLink w:val="Imported Style 10"/>
    <w:lvl w:ilvl="0">
      <w:start w:val="1"/>
      <w:numFmt w:val="upperLetter"/>
      <w:suff w:val="tab"/>
      <w:lvlText w:val="%1."/>
      <w:lvlJc w:val="left"/>
      <w:pPr>
        <w:ind w:left="6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3"/>
  </w:abstractNum>
  <w:abstractNum w:abstractNumId="23">
    <w:multiLevelType w:val="hybridMultilevel"/>
    <w:styleLink w:val="Imported Style 13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7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4"/>
  </w:abstractNum>
  <w:abstractNum w:abstractNumId="25">
    <w:multiLevelType w:val="hybridMultilevel"/>
    <w:styleLink w:val="Imported Style 14"/>
    <w:lvl w:ilvl="0">
      <w:start w:val="1"/>
      <w:numFmt w:val="decimal"/>
      <w:suff w:val="tab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40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40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40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40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440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440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40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440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440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18"/>
  </w:num>
  <w:num w:numId="20">
    <w:abstractNumId w:val="17"/>
  </w:num>
  <w:num w:numId="21">
    <w:abstractNumId w:val="20"/>
  </w:num>
  <w:num w:numId="22">
    <w:abstractNumId w:val="19"/>
  </w:num>
  <w:num w:numId="23">
    <w:abstractNumId w:val="21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1"/>
      </w:numPr>
    </w:pPr>
  </w:style>
  <w:style w:type="numbering" w:styleId="Imported Style 6">
    <w:name w:val="Imported Style 6"/>
    <w:pPr>
      <w:numPr>
        <w:numId w:val="13"/>
      </w:numPr>
    </w:pPr>
  </w:style>
  <w:style w:type="numbering" w:styleId="Imported Style 7">
    <w:name w:val="Imported Style 7"/>
    <w:pPr>
      <w:numPr>
        <w:numId w:val="15"/>
      </w:numPr>
    </w:pPr>
  </w:style>
  <w:style w:type="numbering" w:styleId="Imported Style 8">
    <w:name w:val="Imported Style 8"/>
    <w:pPr>
      <w:numPr>
        <w:numId w:val="17"/>
      </w:numPr>
    </w:pPr>
  </w:style>
  <w:style w:type="numbering" w:styleId="Imported Style 9">
    <w:name w:val="Imported Style 9"/>
    <w:pPr>
      <w:numPr>
        <w:numId w:val="19"/>
      </w:numPr>
    </w:pPr>
  </w:style>
  <w:style w:type="numbering" w:styleId="Imported Style 10">
    <w:name w:val="Imported Style 10"/>
    <w:pPr>
      <w:numPr>
        <w:numId w:val="21"/>
      </w:numPr>
    </w:pPr>
  </w:style>
  <w:style w:type="numbering" w:styleId="Imported Style 13">
    <w:name w:val="Imported Style 13"/>
    <w:pPr>
      <w:numPr>
        <w:numId w:val="24"/>
      </w:numPr>
    </w:pPr>
  </w:style>
  <w:style w:type="numbering" w:styleId="Imported Style 14">
    <w:name w:val="Imported Style 14"/>
    <w:pPr>
      <w:numPr>
        <w:numId w:val="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